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/>
    <w:p w:rsidR="00B54171" w:rsidRDefault="00BB5DC1">
      <w:pPr>
        <w:pStyle w:val="Heading1"/>
      </w:pPr>
      <w:r>
        <w:t>012 DRŽAVNO IZBORNO POVJERENSTVO REPUBLIKE HRVATSKE</w:t>
      </w:r>
    </w:p>
    <w:p w:rsidR="00B54171" w:rsidRDefault="00BB5DC1">
      <w:r>
        <w:t xml:space="preserve">Državno izborno povjerenstvo Republike Hrvatske (dalje: Državno izborno povjerenstvo) je stalno i neovisno državno tijelo koje obavlja poslove iz svog djelokruga u skladu sa Zakonom o Državnom izbornom povjerenstvu Republike Hrvatske te zakonima kojima je </w:t>
      </w:r>
      <w:r>
        <w:t xml:space="preserve">regulirana provedba izbora u Republici Hrvatskoj, kao i provedba državnog, lokalnog i savjetodavnog referenduma. Nadležnost Državnog izbornog povjerenstva u provedbi nadzora financiranja političkih aktivnosti, izborne promidžbe i referenduma, propisana je </w:t>
      </w:r>
      <w:r>
        <w:t xml:space="preserve">Zakonom o financiranju političkih aktivnosti, izborne promidžbe i referenduma. </w:t>
      </w:r>
    </w:p>
    <w:p w:rsidR="00B54171" w:rsidRDefault="00BB5DC1">
      <w:r>
        <w:t xml:space="preserve">Nadležnost Državnog izbornog povjerenstva može se podijeliti na: nadležnost Državnog izbornog povjerenstva koja se odnosi na provedbu izbora i referenduma; nadležnost Državnog </w:t>
      </w:r>
      <w:r>
        <w:t>izbornog povjerenstva koja se odnosi na provedbu nadzora financiranja političkih aktivnosti, nadzor financiranja izborne promidžbe i nadzor financiranja referendumskih aktivnosti te ostale nadležnosti Državnog izbornog povjerenstva propisane člankom 11. st</w:t>
      </w:r>
      <w:r>
        <w:t xml:space="preserve">. 2. Zakona o Državnom izbornom povjerenstvu Republike Hrvatske. </w:t>
      </w:r>
    </w:p>
    <w:p w:rsidR="00B54171" w:rsidRDefault="00BB5DC1">
      <w:r>
        <w:t xml:space="preserve">Pojedine nadležnosti Državnog izbornog povjerenstva se provode svake godine uslijed čega u planiranju određenih sredstava postoji konstanta, dok planiranje sredstava na određenim pozicijama </w:t>
      </w:r>
      <w:r>
        <w:t xml:space="preserve">ovisi o tome da li se u godini za koju se planiraju sredstva očekuje provedba redovnih izbora/referenduma te ima li Državno izborno povjerenstvo namjeru pristupiti ulaganju u određene programe koji iziskuju dodatna ulaganja. </w:t>
      </w:r>
    </w:p>
    <w:p w:rsidR="00B54171" w:rsidRDefault="00BB5DC1">
      <w:r>
        <w:t>Tijekom 2026. održat će se izb</w:t>
      </w:r>
      <w:r>
        <w:t xml:space="preserve">ori za članove vijeća i predstavnike nacionalnih manjina u jedinicama lokalne i područne (regionalne) samouprave (dalje: izbori za članove vijeća i predstavnike nacionalnih manjina), a tijekom 2027. održat će se  izbori zastupnika u Hrvatski sabor. </w:t>
      </w:r>
    </w:p>
    <w:p w:rsidR="00B54171" w:rsidRDefault="00BB5DC1">
      <w:r>
        <w:t>U razd</w:t>
      </w:r>
      <w:r>
        <w:t xml:space="preserve">oblju 2026.-.2028. moguće je održavanje prijevremenih lokalnih izbora. </w:t>
      </w:r>
    </w:p>
    <w:p w:rsidR="00B54171" w:rsidRDefault="00BB5DC1">
      <w:r>
        <w:t>Tijekom 2026.-2028. Državno izborno povjerenstvo provodit će nadzor financiranja političkih aktivnosti (redovni godišnji nadzor), a u provedbi izbora nadzor financiranja izborne promid</w:t>
      </w:r>
      <w:r>
        <w:t>žbe, koji se na izborima za članove vijeća i predstavnike nacionalnih manjina provodi u suradnji s nadležnim izbornim povjerenstvima. Pored navedenog, Državno izborno povjerenstvo će provoditi nadzor financiranja referendumskih aktivnosti, ako u narednom t</w:t>
      </w:r>
      <w:r>
        <w:t>rogodišnjem razdoblju dođe do osnivanja Organizacijskih odbora za provedbu referenduma na državnoj, odnosno lokalnoj razini.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82"/>
        <w:gridCol w:w="1556"/>
        <w:gridCol w:w="1556"/>
        <w:gridCol w:w="1543"/>
        <w:gridCol w:w="1543"/>
        <w:gridCol w:w="1556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5417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01205-Državno izborno povjerenstvo Republike Hrvatske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31.147.483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14.817.384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2.676.500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3.369.700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23.000.400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18,1</w:t>
            </w:r>
          </w:p>
        </w:tc>
      </w:tr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Ukupno 012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31.147.483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14.817.384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2.676.500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3.369.700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23.000.400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18,1</w:t>
            </w:r>
          </w:p>
        </w:tc>
      </w:tr>
    </w:tbl>
    <w:p w:rsidR="00B54171" w:rsidRDefault="00B54171">
      <w:pPr>
        <w:jc w:val="left"/>
      </w:pPr>
    </w:p>
    <w:p w:rsidR="00B54171" w:rsidRDefault="00BB5DC1">
      <w:pPr>
        <w:pStyle w:val="Heading2"/>
      </w:pPr>
      <w:r>
        <w:t>01205 Državno izborno povjerenstvo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82"/>
        <w:gridCol w:w="1556"/>
        <w:gridCol w:w="1556"/>
        <w:gridCol w:w="1543"/>
        <w:gridCol w:w="1543"/>
        <w:gridCol w:w="1556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5417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01205-Državno izborno povjerenstvo Republike Hrvatske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31.147.483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14.817.384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2.676.500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3.369.700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23.000.400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18,1</w:t>
            </w:r>
          </w:p>
        </w:tc>
      </w:tr>
    </w:tbl>
    <w:p w:rsidR="00B54171" w:rsidRDefault="00B54171">
      <w:pPr>
        <w:jc w:val="left"/>
      </w:pPr>
    </w:p>
    <w:p w:rsidR="00B54171" w:rsidRDefault="00BB5DC1">
      <w:pPr>
        <w:pStyle w:val="Heading3"/>
      </w:pPr>
      <w:r>
        <w:rPr>
          <w:rFonts w:cs="Times New Roman"/>
        </w:rPr>
        <w:lastRenderedPageBreak/>
        <w:t>2124 PROVEDBA IZBORA I REFERENDUMA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15"/>
        <w:gridCol w:w="1531"/>
        <w:gridCol w:w="1531"/>
        <w:gridCol w:w="1514"/>
        <w:gridCol w:w="1514"/>
        <w:gridCol w:w="1531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5417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2124-PROVEDBA IZBORA I REFERENDUMA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31.147.483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14.817.384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2.676.500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3.369.700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23.000.400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18,1</w:t>
            </w:r>
          </w:p>
        </w:tc>
      </w:tr>
    </w:tbl>
    <w:p w:rsidR="00B54171" w:rsidRDefault="00B54171">
      <w:pPr>
        <w:jc w:val="left"/>
      </w:pPr>
    </w:p>
    <w:p w:rsidR="00B54171" w:rsidRDefault="00BB5DC1">
      <w:pPr>
        <w:pStyle w:val="Heading7"/>
      </w:pPr>
      <w:r>
        <w:t>Cilj 1. Cilj 1. Educirani članovi izbornih tijela, tijela koja provode referendume i birači</w:t>
      </w:r>
    </w:p>
    <w:p w:rsidR="00B54171" w:rsidRDefault="00BB5DC1">
      <w:pPr>
        <w:pStyle w:val="Heading7"/>
      </w:pPr>
      <w:r>
        <w:t xml:space="preserve">Cilj 2.  Cilj 2. Učinkovit i transparentan nadzor financiranja političkih aktivnosti, izborne promidžbe i referendumske aktivnosti </w:t>
      </w:r>
    </w:p>
    <w:p w:rsidR="00B54171" w:rsidRDefault="00BB5DC1">
      <w:pPr>
        <w:pStyle w:val="Heading7"/>
      </w:pPr>
      <w:r>
        <w:t>Cilj 3. Cilj 3. Jedinstvena info</w:t>
      </w:r>
      <w:r>
        <w:t xml:space="preserve">rmatička podrška s transparentno i pravovremeno javno objavljenim podacima o provedenim izborima </w:t>
      </w:r>
    </w:p>
    <w:p w:rsidR="00B54171" w:rsidRDefault="00BB5DC1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80"/>
        <w:gridCol w:w="2280"/>
        <w:gridCol w:w="974"/>
        <w:gridCol w:w="933"/>
        <w:gridCol w:w="940"/>
        <w:gridCol w:w="933"/>
        <w:gridCol w:w="933"/>
        <w:gridCol w:w="933"/>
      </w:tblGrid>
      <w:tr w:rsidR="00B54171">
        <w:trPr>
          <w:jc w:val="center"/>
        </w:trPr>
        <w:tc>
          <w:tcPr>
            <w:tcW w:w="2245" w:type="dxa"/>
            <w:shd w:val="clear" w:color="auto" w:fill="B5C0D8"/>
          </w:tcPr>
          <w:p w:rsidR="00B54171" w:rsidRDefault="00BB5DC1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Postupanje članova izbornih tijela sukladno izbornom zakonu i obvezatnim uputama Državnog izbornog povjerenstva i ostvarivanje aktivnog i pasivnog biračkog prava od strane mladih birača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Članovi izbornih tijela, tijela koja provo</w:t>
            </w:r>
            <w:r>
              <w:rPr>
                <w:rFonts w:cs="Times New Roman"/>
              </w:rPr>
              <w:t>de referendume i mladi birači educirani kroz webinare i podsjetnike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Postotak educiranih članova izbornih tijela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Pregled rada za prethodnu godinu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80%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80%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80%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Smanjenje broja povreda zakona od strane subjekata nad kojima Državno izborno povjerenstvo provodi redovni nadzor financiranja, nadzor financiranja izborne promidžbe i nadzor referenduma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Subjekti nad kojima se provodi redovni nadzor financiranja, nadzor fi</w:t>
            </w:r>
            <w:r>
              <w:rPr>
                <w:rFonts w:cs="Times New Roman"/>
              </w:rPr>
              <w:t>nanciranja izborne promižbe i nadzor financiranja referenduma, educirani kroz on-line edukacije i webinare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Postotak educiranih subjekata nadzora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Pregled rada za prethodnu godinu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60%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60%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60%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zaključenih ugovora o pružanju jedinstvene informatičke po</w:t>
            </w:r>
            <w:r>
              <w:rPr>
                <w:rFonts w:cs="Times New Roman"/>
              </w:rPr>
              <w:t>drške izborima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Ugovorom regulirana jedinstvena informatička podrška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ugovora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Pregled rada za prethodnu godinu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</w:tr>
    </w:tbl>
    <w:p w:rsidR="00B54171" w:rsidRDefault="00B54171">
      <w:pPr>
        <w:jc w:val="left"/>
      </w:pPr>
    </w:p>
    <w:p w:rsidR="00BB5DC1" w:rsidRDefault="00BB5DC1">
      <w:pPr>
        <w:jc w:val="left"/>
      </w:pPr>
      <w:bookmarkStart w:id="0" w:name="_GoBack"/>
      <w:bookmarkEnd w:id="0"/>
    </w:p>
    <w:p w:rsidR="00B54171" w:rsidRDefault="00BB5DC1">
      <w:pPr>
        <w:pStyle w:val="Heading4"/>
      </w:pPr>
      <w:r>
        <w:t>A896001 PROVEDBA IZBORA</w:t>
      </w:r>
    </w:p>
    <w:p w:rsidR="00B54171" w:rsidRDefault="00BB5DC1">
      <w:pPr>
        <w:pStyle w:val="Heading8"/>
        <w:jc w:val="left"/>
      </w:pPr>
      <w:r>
        <w:t>Zakonske i druge pravne osnove</w:t>
      </w:r>
    </w:p>
    <w:p w:rsidR="00B54171" w:rsidRDefault="00BB5DC1">
      <w:pPr>
        <w:pStyle w:val="Normal5"/>
      </w:pPr>
      <w:r>
        <w:t xml:space="preserve">Zakon o izboru vijeća i predstavnika nacionalnih manjina </w:t>
      </w:r>
    </w:p>
    <w:p w:rsidR="00B54171" w:rsidRDefault="00BB5DC1">
      <w:pPr>
        <w:pStyle w:val="Normal5"/>
      </w:pPr>
      <w:r>
        <w:t xml:space="preserve">Zakon o izborima zastupnika u Hrvatski sabor </w:t>
      </w:r>
    </w:p>
    <w:p w:rsidR="00B54171" w:rsidRDefault="00BB5DC1">
      <w:pPr>
        <w:pStyle w:val="Normal5"/>
      </w:pPr>
      <w:r>
        <w:t>Zakon o financiranju političkih aktivnosti, izborne promidžbe i referenduma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93"/>
        <w:gridCol w:w="1562"/>
        <w:gridCol w:w="1562"/>
        <w:gridCol w:w="1523"/>
        <w:gridCol w:w="1534"/>
        <w:gridCol w:w="1562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lastRenderedPageBreak/>
              <w:t>A896001-P</w:t>
            </w:r>
            <w:r>
              <w:rPr>
                <w:rFonts w:cs="Times New Roman"/>
              </w:rPr>
              <w:t>ROVEDBA IZBORA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29.618.230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11.974.722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80.000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561.500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20.097.000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0,7</w:t>
            </w:r>
          </w:p>
        </w:tc>
      </w:tr>
    </w:tbl>
    <w:p w:rsidR="00B54171" w:rsidRDefault="00B54171">
      <w:pPr>
        <w:jc w:val="left"/>
      </w:pPr>
    </w:p>
    <w:p w:rsidR="00B54171" w:rsidRDefault="00BB5DC1">
      <w:r>
        <w:t>Tijekom 2026. moguće je održavanje prijevremenih lokalnih izbora. Sredstva za provedbu prijevremenih lokalnih izbora planirana su temeljem procjene broja prijevremenih lokalnih izbora koji bi se mogli održati u 2026. godini. Sredstva su planirana na pozici</w:t>
      </w:r>
      <w:r>
        <w:t xml:space="preserve">ji 32 Materijalni rashodi u iznosu od 80.000 eura za zaključenje ugovora za pružanje jedinstvene informatičke prijevremenim lokalnim izborima (pozicija 3238 Računalne usluge). </w:t>
      </w:r>
    </w:p>
    <w:p w:rsidR="00B54171" w:rsidRDefault="00BB5DC1">
      <w:r>
        <w:t>U narednom trogodišnjem razdoblju 2026.-2028. godina moguće je održavanje prije</w:t>
      </w:r>
      <w:r>
        <w:t xml:space="preserve">vremenih lokalnih izbora. Sredstva planirana za provedbu tih izbora u cijelosti se odnose na računalne usluge (pozicija 3238 Računalne usluge) odnosno na jedinstvenu informatičku podršku izborima. Ta sredstva su u narednom trogodišnjem razdoblju planirana </w:t>
      </w:r>
      <w:r>
        <w:t xml:space="preserve">u iznosu od 80.000 eura za svaku godinu planiranog razdoblja.  </w:t>
      </w:r>
    </w:p>
    <w:p w:rsidR="00B54171" w:rsidRDefault="00BB5DC1">
      <w:r>
        <w:t>Za 2027. godinu sredstva na aktivnosti izbora su planirana u iznosu od 561.500 eur. Tijekom 2027. održati će se izbori za članove vijeća i predstavnike nacionalnih manjina u jedinicama lokalne</w:t>
      </w:r>
      <w:r>
        <w:t xml:space="preserve"> i područne (regionalne) samouprave. Sredstva za podmirenje troškova provedbe navedenih izbora planirana su u ukupnom iznosu od 481.500 eura, u cijelosti se odnose na materijalne rashode na skupini 32 Materijalni rashodi. Najznačajniji rashodi odnose se na</w:t>
      </w:r>
      <w:r>
        <w:t xml:space="preserve"> trošak informatičke podrške u iznosu od 320.000 eura dok se ostali rashodi odnose na troškove službenih putovanja za potrebe provedbe edukacija nadležnih izbornih povjerenstva, uredski materijal i ostale materijalne rashode te naknade za rad županijskih i</w:t>
      </w:r>
      <w:r>
        <w:t xml:space="preserve">nformatičkih koordinatora i informatičkog koordinatora Državnog izbornog povjerenstva. Preostalih 80.000 eura odnosi se na računalne usluge za jedinstvenu informatičku podršku prijevemenim lokalnim izborima. </w:t>
      </w:r>
    </w:p>
    <w:p w:rsidR="00B54171" w:rsidRDefault="00BB5DC1">
      <w:r>
        <w:t>Povećanje u odnosu na prethodno planirana sreds</w:t>
      </w:r>
      <w:r>
        <w:t>tva odnosi se prvenstveno na troškove informatičke podrške prijevremenim lokalnim izborima te povećanje naknada za rad županijskim informatičkim koordinatorima koji će sudjelovati u provedbi izbora za članove vijeća i predstavnike nacionalnih manjina u jed</w:t>
      </w:r>
      <w:r>
        <w:t xml:space="preserve">inicama lokalne i područne (regionalne) samouprave. </w:t>
      </w:r>
    </w:p>
    <w:p w:rsidR="00B54171" w:rsidRDefault="00BB5DC1">
      <w:r>
        <w:t>Tijekom 2028. održati će se izbori zastupnika u Hrvatski sabor. Sredstva su planirana na poziciji 32 Materijalni rashodi, 36 Pomoći dane u inozemstvo i unutar općeg proračuna te na 38 Rashodi za donacije</w:t>
      </w:r>
      <w:r>
        <w:t>, kazne, naknade šteta i kapitalne pomoći za: zaključenje ugovora za pružanje jedinstvene informatičke podrške izborima za zastupnike u Hrvatski sabor (pozicija 3238 Računalne usluge); obavljanje poslova informatičke podrške od strane informatičkog koordin</w:t>
      </w:r>
      <w:r>
        <w:t>atora Državnog izbornog povjerenstva i informatičkih koordinatora izbornih jedinca te županijskih informatičkih koordinatora (pozicija 3237 Intelektualne i osobne usluge); objave zbirnih lista u dnevnim novinama te trošak tiska glasačkih listića i drugih o</w:t>
      </w:r>
      <w:r>
        <w:t>brazaca za izbore za zastupnike u Hrvatski sabor (pozicija 3233 usluge promidžbe i informiranja, pozicija 3239 ostale usluge); provedbu edukacija nadležnih izbornih povjerenstava (pozicija 3211 Službena putovanja i pozicija 3235 Zakupnine i najamnine); naj</w:t>
      </w:r>
      <w:r>
        <w:t>am prostora i opreme za vrijeme trajanja izbora (pozicija 3235 Zakupnine i najamnine); tekuće pomoći unutar općeg proračuna koje se odnose na materijalne troškove izbornih povjerenstava izbornih jedinica, a obuhvaćaju naknade za rad istih te ostale materij</w:t>
      </w:r>
      <w:r>
        <w:t xml:space="preserve">alne troškove (pozicija 3631 tekuće pomoći unutar općeg proračuna) te na naknadu troškova izborne promidžbe za izbor zastupnika u Hrvatski sabor, a o čijoj visini odluku donosi Vlada Republike Hrvatske tekuće donacije u novcu (pozicija 3811). </w:t>
      </w:r>
    </w:p>
    <w:p w:rsidR="00B54171" w:rsidRDefault="00BB5DC1">
      <w:r>
        <w:t>Općenito ras</w:t>
      </w:r>
      <w:r>
        <w:t>hodi za provedbu izbora planirani su na bazi utrošenih sredstava na prethodno održanim istovrsnim izborima, a uzimajući u obzir trenutnu ekonomsku situaciju i opći rast cijena dobara i usluga. Sredstva za podmirenje troškova izbora za zastupnike u Hrvatski</w:t>
      </w:r>
      <w:r>
        <w:t xml:space="preserve"> sabor planirana su u višem iznosu od iznosa koji je utrošen na posljednje provedenim istovrsnim izborima. </w:t>
      </w:r>
    </w:p>
    <w:p w:rsidR="00B54171" w:rsidRDefault="00BB5DC1">
      <w:r>
        <w:t>Očekivano je povećanje troškova objave zbirnih lista u dnevnim novinama zbog povećanja cijene navedene usluge i troškova tiska glasačkih listića i d</w:t>
      </w:r>
      <w:r>
        <w:t>rugih obrazaca za provedbu izbora zbog povećanja cijene repromaterijala i same usluge tiskanja glasačkih listića i drugih obrazaca za provedbu izbora, sukladno suglasnosti Ministarstva gospodarstva i održivog razvoja, kojom su određene cijene navedenih obr</w:t>
      </w:r>
      <w:r>
        <w:t xml:space="preserve">azaca.  </w:t>
      </w:r>
    </w:p>
    <w:p w:rsidR="00B54171" w:rsidRDefault="00BB5DC1">
      <w:r>
        <w:t>Materijalni troškovi izbornih povjerenstava izbornih jedinica planirani su u višem iznosu u odnosu na posljednje provedene istovrsne izbore imajući u vidu očekivano povećanje broja biračkih mjesta i naknada za rad na izborima te općenito povećanje</w:t>
      </w:r>
      <w:r>
        <w:t xml:space="preserve"> materijalnih troškova uzrokovano povećanjem cijena.  </w:t>
      </w:r>
    </w:p>
    <w:p w:rsidR="00B54171" w:rsidRDefault="00BB5DC1">
      <w:r>
        <w:t>Nadalje, planirana je edukacija članova izbornih povjerenstava koja provode izbore za zastupnike u Hrvatski sabor (ukupno 10 edukacija u gradovima – sjedištima izbornih povjerenstava izbornih jedinica)</w:t>
      </w:r>
      <w:r>
        <w:t xml:space="preserve">. Pored nadležnosti propisanih izbornim zakonima i Zakonom o Državnom izbornom povjerenstvu Republike Hrvatske, riječ je i o aktivnostima propisanim Strateškim planom Državnog izbornog povjerenstva za 2026.-2028. </w:t>
      </w:r>
    </w:p>
    <w:p w:rsidR="00B54171" w:rsidRDefault="00BB5DC1">
      <w:r>
        <w:lastRenderedPageBreak/>
        <w:t>Na posljednje provedenim istovrsnim izbori</w:t>
      </w:r>
      <w:r>
        <w:t>ma, Državno izborno povjerenstvo je, zbog nemogućnosti korištenja prostorija Hrvatskoga Sabora, koristilo prostor u okviru Zagrebačkog Velesajma za koje je plaćalo zakup poslovnog prostora. Dodatno su za 2028. planirana sredstva za zakup poslovnog prostora</w:t>
      </w:r>
      <w:r>
        <w:t xml:space="preserve"> jer je moguće da se zbog uređenja zgrade Hrvatskoga sabora, ista niti tijekom provedbe izbora za zastupnike u Hrvatski sabor 2028. neće moći koristiti. </w:t>
      </w:r>
    </w:p>
    <w:p w:rsidR="00B54171" w:rsidRDefault="00BB5DC1">
      <w:r>
        <w:t xml:space="preserve">Sredstva za zaključenje ugovora za pružanje jedinstvene informatičke podrške izborima za zastupnike u </w:t>
      </w:r>
      <w:r>
        <w:t>Hrvatski sabor te obavljanje poslova informatičke podrške od strane informatičkog koordinatora Državnog izbornog povjerenstva i informatičkih koordinatora izbornih jedinica te županijskih informatičkih koordinatora planirani su u nešto višem iznosu od izno</w:t>
      </w:r>
      <w:r>
        <w:t>sa koji je utrošen na posljednje provedenim istovrsnim izborima u 2024. zbog planiranog unapređenja informatičkih procesa, a s ciljem osiguranja istovrsne informatičke podrške (opsega informatičkih procesa i kvalitete pružene usluge) svim izborima, kao i z</w:t>
      </w:r>
      <w:r>
        <w:t xml:space="preserve">bog povećanja troškova poslovanja informatičke tvrtke – pružatelja usluge jedinstvene informatičke podrške.  </w:t>
      </w:r>
    </w:p>
    <w:p w:rsidR="00B54171" w:rsidRDefault="00BB5DC1">
      <w:r>
        <w:t>Za 2028. godinu sredstva na aktivnosti izbora su planirana u iznosu od 20.097.000 eur, a odnose se na sredstva planirana za provedbu izbora zastup</w:t>
      </w:r>
      <w:r>
        <w:t>nika u Hrvatski sabor te na sredstva za provedbu prijevremenih lokalnih izbora koji bi se mogli održati 2028.</w:t>
      </w:r>
    </w:p>
    <w:p w:rsidR="00B54171" w:rsidRDefault="00BB5DC1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807"/>
        <w:gridCol w:w="1807"/>
        <w:gridCol w:w="916"/>
        <w:gridCol w:w="1136"/>
        <w:gridCol w:w="916"/>
        <w:gridCol w:w="916"/>
        <w:gridCol w:w="916"/>
      </w:tblGrid>
      <w:tr w:rsidR="00B54171">
        <w:trPr>
          <w:jc w:val="center"/>
        </w:trPr>
        <w:tc>
          <w:tcPr>
            <w:tcW w:w="2245" w:type="dxa"/>
            <w:shd w:val="clear" w:color="auto" w:fill="B5C0D8"/>
          </w:tcPr>
          <w:p w:rsidR="00B54171" w:rsidRDefault="00BB5DC1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provedenih edukacija članova nadležnih izbornih povjerenstava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Edukacija članova nadležnih izbornih povjerenstava će doprinijeti razvoju njihovih profesionalnih kompetencija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održanih edukacija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Pregled rada za prethodnu godinu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održanih edukacija mladih birača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Edukacije će mladim biračima dati osnovne informacije o izbornim sustavima i doprinijeti osvještavanju mladih birača o važnosti glasovanja na izborima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održanih edukacija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 xml:space="preserve">Pregled rada za prethodnu godinu  </w:t>
            </w:r>
          </w:p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Izvješće o provedenim edukacijama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razvijenih i objavljenih on-line edukacija namijenjenih izbornim sudionicima vezano uz financiranje izborne promidžbe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On-line edukacije će izborne</w:t>
            </w:r>
            <w:r>
              <w:rPr>
                <w:rFonts w:cs="Times New Roman"/>
              </w:rPr>
              <w:t xml:space="preserve"> sudionike podučiti o relevantnim aspektima vezano uz financirnje izborne promidžbe te u konačnici dovesti do smanjenja broja povreda zakona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razvijenih i objavljenih on-line edukacija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 xml:space="preserve">Pregled rada za prethodnu godinu  </w:t>
            </w:r>
          </w:p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Mrežne stranice Državnog izbor</w:t>
            </w:r>
            <w:r>
              <w:rPr>
                <w:rFonts w:cs="Times New Roman"/>
              </w:rPr>
              <w:t>nog povjerenstva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zaključenih ugovora jedinstvene informatičke podrške izborima članova vijeća i predstavnika nacionalnih manjina i izborima zastupnika u Hrvatski sabor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Jedinstvena informatička podrška implementira se u svrhu efikasne i transpar</w:t>
            </w:r>
            <w:r>
              <w:rPr>
                <w:rFonts w:cs="Times New Roman"/>
              </w:rPr>
              <w:t>entne provedbe izbora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zaključenih ugovora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Zaključeni ugovor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lastRenderedPageBreak/>
              <w:t>Broj zaključenih ugovora jedinstvene informatičke podrške prijevremenim lokalnim izborima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Jedinstvena informatička podrška implementira se u svrhu efikasne i transparentne provedbe izbora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Broj zaključenih ugovora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Zaključeni ugovor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B54171">
        <w:trPr>
          <w:jc w:val="center"/>
        </w:trPr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Informacijski sustav  za provedbu izbora prilagođen novim tehnologijama</w:t>
            </w:r>
          </w:p>
        </w:tc>
        <w:tc>
          <w:tcPr>
            <w:tcW w:w="2245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Informacijski sustav za provedbu i</w:t>
            </w:r>
            <w:r>
              <w:rPr>
                <w:rFonts w:cs="Times New Roman"/>
              </w:rPr>
              <w:t>zbora modernizira se na način da se prilagođava novim tehnologijama sa svrhom poboljšanja korisničkog iskustva čime će se osigurati dugoročna održivost informacijskog sustava.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Postotak usklađenosti informacijskog sustava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Zaključeni ugovor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50%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50%</w:t>
            </w:r>
          </w:p>
        </w:tc>
        <w:tc>
          <w:tcPr>
            <w:tcW w:w="918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</w:tr>
    </w:tbl>
    <w:p w:rsidR="00B54171" w:rsidRDefault="00B54171">
      <w:pPr>
        <w:jc w:val="left"/>
      </w:pPr>
    </w:p>
    <w:p w:rsidR="00B54171" w:rsidRDefault="00BB5DC1">
      <w:pPr>
        <w:pStyle w:val="Heading4"/>
      </w:pPr>
      <w:r>
        <w:t>A896002 ADMINISTRACIJA I UPRAVLJANJE</w:t>
      </w:r>
    </w:p>
    <w:p w:rsidR="00B54171" w:rsidRDefault="00BB5DC1">
      <w:pPr>
        <w:pStyle w:val="Heading8"/>
        <w:jc w:val="left"/>
      </w:pPr>
      <w:r>
        <w:t>Zakonske i druge pravne osnove</w:t>
      </w:r>
    </w:p>
    <w:p w:rsidR="00B54171" w:rsidRDefault="00BB5DC1">
      <w:pPr>
        <w:pStyle w:val="Normal5"/>
      </w:pPr>
      <w:r>
        <w:t xml:space="preserve">Zakon o Državnom izbornom povjerenstvu Republike Hrvatske   </w:t>
      </w:r>
    </w:p>
    <w:p w:rsidR="00B54171" w:rsidRDefault="00BB5DC1">
      <w:pPr>
        <w:pStyle w:val="Normal5"/>
      </w:pPr>
      <w:r>
        <w:t>Poslovnik o radu Državnog izbornog povjerenstva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488"/>
        <w:gridCol w:w="1489"/>
        <w:gridCol w:w="1489"/>
        <w:gridCol w:w="1489"/>
        <w:gridCol w:w="1489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A896002-ADMINISTRACIJA I UPRAVLJANJE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1.505.001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2.794.262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2.548.600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2.722.000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2.774.700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91,2</w:t>
            </w:r>
          </w:p>
        </w:tc>
      </w:tr>
    </w:tbl>
    <w:p w:rsidR="00B54171" w:rsidRDefault="00B54171">
      <w:pPr>
        <w:jc w:val="left"/>
      </w:pPr>
    </w:p>
    <w:p w:rsidR="00B54171" w:rsidRDefault="00BB5DC1">
      <w:r>
        <w:t xml:space="preserve">Na redovnoj aktivnosti planirani su svi redovni troškovi koji su neophodni za rad Državnog izbornog povjerenstva. Prilikom planiranja sredstava za razdoblje 2026. – 2028. za ovu aktivnost u obzir je uzeta trenutna ekonomska situacija vezana uz opći porast </w:t>
      </w:r>
      <w:r>
        <w:t xml:space="preserve">cijena roba i usluga te su rashodi za materijal i energiju, rashodi za usluge i ostali nespomenuti rashodi planirani u većim iznosima u odnosu na prethodno razdoblje. </w:t>
      </w:r>
    </w:p>
    <w:p w:rsidR="00B54171" w:rsidRDefault="00BB5DC1">
      <w:r>
        <w:t>Za 2026. planirana su sredstva u iznosu od 2.548.600 eura. Od ukupno planiranih sredstav</w:t>
      </w:r>
      <w:r>
        <w:t xml:space="preserve">a 74,6% odnosi se na rashode za zaposlene (skupina 31), 25,0% sredstava odnosi se na materijalne rashode (skupina 32) dok se 0,4% sredstava odnosi na rashode za nabavu proizvedene dugotrajne imovine (skupina 42). </w:t>
      </w:r>
    </w:p>
    <w:p w:rsidR="00B54171" w:rsidRDefault="00BB5DC1">
      <w:r>
        <w:t>U odnosu na prethodni plan proračuna sreds</w:t>
      </w:r>
      <w:r>
        <w:t>tva su na ovoj aktivnosti za 2026. planirana u većem iznosu od 30.781 eura. Povećanje je nastalo zbog porasta osnovice za obračun plaća tijekom 2025. (pozicija 31 Rashodi za zaposlene), podizanja razine kibernetičke sigurnosti u smislu nabave novih program</w:t>
      </w:r>
      <w:r>
        <w:t xml:space="preserve">skih rješenja i pripadajućih licenci za korištenje navedenog te općenitog porasta cijena redovnih usluga i materijala za potrebe redovnog poslovanja (pozicija 32 Materijalni rashodi). </w:t>
      </w:r>
    </w:p>
    <w:p w:rsidR="00B54171" w:rsidRDefault="00BB5DC1">
      <w:r>
        <w:t>Sredstva na skupini rashoda 31 Rashodi za zaposlene, planirana su na ra</w:t>
      </w:r>
      <w:r>
        <w:t xml:space="preserve">zini broja dužnosnika, službenika i namještenika u 2025., uzimajući u obzir zapošljavanja koja će se provesti do kraja 2025. i tijekom 2026. (zapošljavanje vozača zbog nabave službenog automobila) te povećanje osnovice za državne službenike i namještenike </w:t>
      </w:r>
      <w:r>
        <w:t xml:space="preserve">sukladno važećim zakonskim propisima. Imajući u vidu mogućnost povećanog opsega posla službenika i namještenika planiran je određen broj prekovremenih sati za službenike i namještenike. </w:t>
      </w:r>
    </w:p>
    <w:p w:rsidR="00B54171" w:rsidRDefault="00BB5DC1">
      <w:r>
        <w:t>Sredstva na skupini rashoda 32 Materijalni rashodi planirana su u izn</w:t>
      </w:r>
      <w:r>
        <w:t xml:space="preserve">osu od 635.150 eura, a najnačajni su:  </w:t>
      </w:r>
    </w:p>
    <w:p w:rsidR="00B54171" w:rsidRDefault="00BB5DC1">
      <w:r>
        <w:t>-</w:t>
      </w:r>
      <w:r>
        <w:tab/>
        <w:t>troškovi provedbe edukacija birača u svezi ostvarenja aktivnog i pasivnog biračkog prava koja je jedna od aktivnosti iz Strateškog plana Državnog izbornog povjerenstva za 2026.-2028. te troškove službenih putovanja</w:t>
      </w:r>
      <w:r>
        <w:t xml:space="preserve"> koji su dio redovnog poslovanja vezanim uz međunarodnu suradnju sa izbornim institucijama iz drugih zemalja (pozicija 3211 Službena putovanja), a čine 5,8%;  </w:t>
      </w:r>
    </w:p>
    <w:p w:rsidR="00B54171" w:rsidRDefault="00BB5DC1">
      <w:r>
        <w:lastRenderedPageBreak/>
        <w:t>-</w:t>
      </w:r>
      <w:r>
        <w:tab/>
        <w:t>troškovi uredskog materijala i ostalih materijalnih rashoda (pozicija 3221 Uredski materijal i</w:t>
      </w:r>
      <w:r>
        <w:t xml:space="preserve"> ostali materijalni rashodi), a čine 2,7%;  </w:t>
      </w:r>
    </w:p>
    <w:p w:rsidR="00B54171" w:rsidRDefault="00BB5DC1">
      <w:r>
        <w:t>-</w:t>
      </w:r>
      <w:r>
        <w:tab/>
        <w:t xml:space="preserve">troškovi električne energije i plina (pozicija 3223 Energija), a čine 7,9%;  </w:t>
      </w:r>
    </w:p>
    <w:p w:rsidR="00B54171" w:rsidRDefault="00BB5DC1">
      <w:r>
        <w:t>-</w:t>
      </w:r>
      <w:r>
        <w:tab/>
        <w:t>troškovi fiksne telefonije, interneta i poštanskih usluga neophodnih za redovno poslovanje Državnog izbornog povjerenstva (pozici</w:t>
      </w:r>
      <w:r>
        <w:t xml:space="preserve">ja 3231 Usluge telefona, pošte i prijevoza), a čine 4,6%:  </w:t>
      </w:r>
    </w:p>
    <w:p w:rsidR="00B54171" w:rsidRDefault="00BB5DC1">
      <w:r>
        <w:t>-</w:t>
      </w:r>
      <w:r>
        <w:tab/>
        <w:t xml:space="preserve">najam opreme te očekivane veće troškove za najam arhivskog prostora zbog planiranog premještanja određenog dijela arhivske građe na čuvanje Hrvatskom državnom arhivu  (pozicija 3235 Zakupnine i </w:t>
      </w:r>
      <w:r>
        <w:t xml:space="preserve">najamnine), a čine 6,9%;  </w:t>
      </w:r>
    </w:p>
    <w:p w:rsidR="00B54171" w:rsidRDefault="00BB5DC1">
      <w:r>
        <w:t>-</w:t>
      </w:r>
      <w:r>
        <w:tab/>
        <w:t>redovite računalne usluge neophodne za redovito funkcioniranje Državnog izbornog povjerenstva, od kojih se ističe: usluga udomljavanja i održavanja aplikacije za dostavu i objavu financijskih izvještaja u području redovnog nadz</w:t>
      </w:r>
      <w:r>
        <w:t>ora financiranja; usluga udomljavanja i održavanja mrežnih stranica; usluga održavanja ICT sustava; usluga održavanja računovodstvenog programa „Konto“, usluga sigurnosno operativnog centra za upravljanje i poboljšanje kibernetičke sigurnosti te nadogradnj</w:t>
      </w:r>
      <w:r>
        <w:t xml:space="preserve">e aplikacija za nadzor financiranja (pozicija 3238 Računalne usluge), a čine 36,3%;  </w:t>
      </w:r>
    </w:p>
    <w:p w:rsidR="00B54171" w:rsidRDefault="00BB5DC1">
      <w:r>
        <w:t>-</w:t>
      </w:r>
      <w:r>
        <w:tab/>
        <w:t xml:space="preserve">ostale usluge koje se prvenstveno odnose na povećanje cijene usluge čišćenja poslovnog prostora (pozicija 3239 Ostale usluge), a čine 6,2%; </w:t>
      </w:r>
    </w:p>
    <w:p w:rsidR="00B54171" w:rsidRDefault="00BB5DC1">
      <w:r>
        <w:t>-</w:t>
      </w:r>
      <w:r>
        <w:tab/>
        <w:t>troškovi tekućeg održavan</w:t>
      </w:r>
      <w:r>
        <w:t xml:space="preserve">ja opreme i zgrade, a čine 6,3%;  </w:t>
      </w:r>
    </w:p>
    <w:p w:rsidR="00B54171" w:rsidRDefault="00BB5DC1">
      <w:r>
        <w:t>-</w:t>
      </w:r>
      <w:r>
        <w:tab/>
        <w:t xml:space="preserve">troškovi naknada za rad povjerenstva Državnog izbornog povjerenstva, a čine 12,3% te; </w:t>
      </w:r>
    </w:p>
    <w:p w:rsidR="00B54171" w:rsidRDefault="00BB5DC1">
      <w:r>
        <w:t>-</w:t>
      </w:r>
      <w:r>
        <w:tab/>
        <w:t>troškovi održavanja, goriva, osiguranja i drugih materijalnih rashoda vezanih uz nabavljeno prijevozno sredstvo za potrebe redovno</w:t>
      </w:r>
      <w:r>
        <w:t xml:space="preserve">g poslovanja i na ostale troškove vezane uz redovno poslovanje, a čine 11%. </w:t>
      </w:r>
    </w:p>
    <w:p w:rsidR="00B54171" w:rsidRDefault="00BB5DC1">
      <w:r>
        <w:t>Rashodi za nabavu nefinancijske imovine planirani su u iznosu od 11.200 eura. Od planiranih sredstava 24,1% sredstava planirano je za nabavu novog uredskog namještaja odnosno zamj</w:t>
      </w:r>
      <w:r>
        <w:t xml:space="preserve">enu postojećeg dotrajalog namještaja, 62,5% za nabavu komunikacijske opreme odnosno zamjenu postojeće opreme (mobiteli) te 13,4% za nabavu ostale opreme. </w:t>
      </w:r>
    </w:p>
    <w:p w:rsidR="00B54171" w:rsidRDefault="00BB5DC1">
      <w:r>
        <w:t xml:space="preserve"> </w:t>
      </w:r>
    </w:p>
    <w:p w:rsidR="00B54171" w:rsidRDefault="00BB5DC1">
      <w:r>
        <w:t xml:space="preserve">Za 2027. planirana su sredstva u iznosu od 2.722.000 eura. Od ukupno planiranih sredstava 73,1% odnosi se na rashode za zaposlene (skupina 31), 26,4% sredstava odnosi se na materijalne rashode (skupina 32) dok se 0,5% sredstava odnosi na rashode za nabavu </w:t>
      </w:r>
      <w:r>
        <w:t xml:space="preserve">proizvedene dugotrajne imovine (skupina 42). </w:t>
      </w:r>
    </w:p>
    <w:p w:rsidR="00B54171" w:rsidRDefault="00BB5DC1">
      <w:r>
        <w:t>U odnosu na prethodni plan proračuna sredstva su na ovoj aktivnosti za 2027. planirana u većem iznosu od 128.980 eura. Povećanje je nastalo zbog planiranog zapošljavanja novih službenika i namještenika te poras</w:t>
      </w:r>
      <w:r>
        <w:t xml:space="preserve">ta osnovice za obračun plaća tijekom 2025. (pozicija 31 Rashodi za zaposlene), podizanja razine kibernetičke sigurnosti u smislu nabave novih programskih rješenja i pripadajućih licenca za korištenje navedenog te općenitog porasta cijena redovnih usluga i </w:t>
      </w:r>
      <w:r>
        <w:t xml:space="preserve">materijala za potrebe redovnog poslovanja (pozicija 32 Materijalni rashodi). </w:t>
      </w:r>
    </w:p>
    <w:p w:rsidR="00B54171" w:rsidRDefault="00BB5DC1">
      <w:r>
        <w:t>Sredstva na skupini rashoda 31 Rashodi za zaposlene, planirana su na razini broja dužnosnika, službenika i namještenika u 2025., uzimajući u obzir zapošljavanja koja će se proves</w:t>
      </w:r>
      <w:r>
        <w:t>ti do kraja 2025. i u 2026. te povećanje osnovice za državne službenike i namještenike sukladno važećim zakonskim propisima. Planiran je veći broj prekovremenih sati za službenike i namještenike, imajući u vidu mogućnost povećanog opsega posla službenika i</w:t>
      </w:r>
      <w:r>
        <w:t xml:space="preserve"> namještenika zbog provedbe izbora za članove vijeća i predstavnike nacionalnih manjina u jedinicama lokalne i područne (regionalne) samouprave. </w:t>
      </w:r>
    </w:p>
    <w:p w:rsidR="00B54171" w:rsidRDefault="00BB5DC1">
      <w:r>
        <w:t xml:space="preserve">Sredstva na skupini rashoda 32 Materijalni rashodi planirana su u iznosu od 717.750 eura, a najnačajni su:  </w:t>
      </w:r>
    </w:p>
    <w:p w:rsidR="00B54171" w:rsidRDefault="00BB5DC1">
      <w:r>
        <w:t>-</w:t>
      </w:r>
      <w:r>
        <w:tab/>
        <w:t xml:space="preserve">troškovi provedbe edukacija birača u svezi ostvarenja aktivnog i pasivnog biračkog prava koja je jedna od aktivnosti iz Strateškog plana Državnog izbornog povjerenstva za 2026.-2028. te troškove službenih putovanja koji su dio redovnog poslovanja vezanim </w:t>
      </w:r>
      <w:r>
        <w:t xml:space="preserve">uz međunarodnu suradnju sa izbornim institucijama iz drugih zemalja (pozicija 3211 Službena putovanja), a čine 5,2%;  </w:t>
      </w:r>
    </w:p>
    <w:p w:rsidR="00B54171" w:rsidRDefault="00BB5DC1">
      <w:r>
        <w:t>-</w:t>
      </w:r>
      <w:r>
        <w:tab/>
        <w:t>troškovi uredskog materijala i ostalih materijalnih rashoda (pozicija 3221 Uredski materijal i ostali materijalni rashodi), a čine 3,2%</w:t>
      </w:r>
      <w:r>
        <w:t xml:space="preserve">;  </w:t>
      </w:r>
    </w:p>
    <w:p w:rsidR="00B54171" w:rsidRDefault="00BB5DC1">
      <w:r>
        <w:t>-</w:t>
      </w:r>
      <w:r>
        <w:tab/>
        <w:t xml:space="preserve">troškovi električne energije i plina (pozicija 3223 Energija), a čine 10,8%;  </w:t>
      </w:r>
    </w:p>
    <w:p w:rsidR="00B54171" w:rsidRDefault="00BB5DC1">
      <w:r>
        <w:t>-</w:t>
      </w:r>
      <w:r>
        <w:tab/>
        <w:t>troškovi fiksne telefonije, interneta i poštanskih usluga neophodnih za redovno poslovanje Državnog izbornog povjerenstva (pozicija 3231 Usluge telefona, pošte i prijevo</w:t>
      </w:r>
      <w:r>
        <w:t xml:space="preserve">za), a čine 4,1%:  </w:t>
      </w:r>
    </w:p>
    <w:p w:rsidR="00B54171" w:rsidRDefault="00BB5DC1">
      <w:r>
        <w:t>-</w:t>
      </w:r>
      <w:r>
        <w:tab/>
        <w:t xml:space="preserve">najam opreme te najam arhivskog prostora zbog planiranog premještanja određenog dijela arhivske građe na čuvanje Hrvatskom državnom arhivu  (pozicija 3235 Zakupnine i najamnine), a čine 8,1%;  </w:t>
      </w:r>
    </w:p>
    <w:p w:rsidR="00B54171" w:rsidRDefault="00BB5DC1">
      <w:r>
        <w:t>-</w:t>
      </w:r>
      <w:r>
        <w:tab/>
        <w:t>redovite računalne usluge neophodne za</w:t>
      </w:r>
      <w:r>
        <w:t xml:space="preserve"> redovito funkcioniranje Državnog izbornog povjerenstva, od kojih se ističe: usluga udomljavanja i održavanja aplikacije za dostavu i objavu financijskih izvještaja u području redovnog nadzora financiranja; usluga udomljavanja i održavanja mrežnih stranica</w:t>
      </w:r>
      <w:r>
        <w:t>; usluga održavanja ICT sustava; usluga održavanja računovodstvenog programa „Konto“, usluga sigurnosno operativnog centra za upravljanje i poboljšanje kibernetičke sigurnosti te nadogradnje aplikacija za nadzor financiranja (pozicija 3238 Računalne usluge</w:t>
      </w:r>
      <w:r>
        <w:t xml:space="preserve">), a čine 34,1%;  </w:t>
      </w:r>
    </w:p>
    <w:p w:rsidR="00B54171" w:rsidRDefault="00BB5DC1">
      <w:r>
        <w:t>-</w:t>
      </w:r>
      <w:r>
        <w:tab/>
        <w:t xml:space="preserve">ostale usluge koje se prvenstveno odnose na povećanje cijene usluge čišćenja poslovnog prostora (pozicija 3239 Ostale usluge), a čine 6,0%; </w:t>
      </w:r>
    </w:p>
    <w:p w:rsidR="00B54171" w:rsidRDefault="00BB5DC1">
      <w:r>
        <w:t>-</w:t>
      </w:r>
      <w:r>
        <w:tab/>
        <w:t xml:space="preserve">troškovi tekućeg održavanja opreme i zgrade, a čine 7,7%;  </w:t>
      </w:r>
    </w:p>
    <w:p w:rsidR="00B54171" w:rsidRDefault="00BB5DC1">
      <w:r>
        <w:t>-</w:t>
      </w:r>
      <w:r>
        <w:tab/>
        <w:t>troškovi naknada za rad povjer</w:t>
      </w:r>
      <w:r>
        <w:t xml:space="preserve">enstva Državnog izbornog povjerenstva, a čine 10,9% te; </w:t>
      </w:r>
    </w:p>
    <w:p w:rsidR="00B54171" w:rsidRDefault="00BB5DC1">
      <w:r>
        <w:t>-</w:t>
      </w:r>
      <w:r>
        <w:tab/>
        <w:t xml:space="preserve">troškovi održavanja, goriva, osiguranja i drugih materijalnih rashoda vezanih uz prijevozno sredstvo i na ostale troškove vezane uz redovno poslovanje, a čine 9,9%. </w:t>
      </w:r>
    </w:p>
    <w:p w:rsidR="00B54171" w:rsidRDefault="00BB5DC1">
      <w:r>
        <w:t>Rashodi za nabavu nefinancijske</w:t>
      </w:r>
      <w:r>
        <w:t xml:space="preserve"> imovine planirani su u iznosu od 13.000 eura. Od planiranih sredstava 23,1% sredstava planirano je za nabavu novog uredskog namještaja, 65,4% za nabavu komunikacijske opreme odnosno zamjenu postojeće opreme (mobiteli) te 11,5% za nabavu ostale opreme. </w:t>
      </w:r>
    </w:p>
    <w:p w:rsidR="00B54171" w:rsidRDefault="00BB5DC1">
      <w:r>
        <w:t xml:space="preserve"> </w:t>
      </w:r>
    </w:p>
    <w:p w:rsidR="00B54171" w:rsidRDefault="00BB5DC1">
      <w:r>
        <w:t xml:space="preserve">Za 2028. planirana su sredstva u iznosu od 2.774.700 eura. Od ukupno planiranih sredstava 73,3% odnosi se na rashode za zaposlene (skupina 31), 26,2% sredstava odnosi se na materijalne rashode (skupina 32) dok se 0,5% sredstava odnosi na rashode za nabavu </w:t>
      </w:r>
      <w:r>
        <w:t xml:space="preserve">proizvedene dugotrajne imovine (skupina 42). </w:t>
      </w:r>
    </w:p>
    <w:p w:rsidR="00B54171" w:rsidRDefault="00BB5DC1">
      <w:r>
        <w:t>Sredstva na skupini rashoda 31 Rashodi za zaposlene, planirana su na razini broja dužnosnika, službenika i namještenika u 2025., uzimajući u obzir zapošljavanja koja će se provesti do kraja 2025. i u 2026. te p</w:t>
      </w:r>
      <w:r>
        <w:t>ovećanje osnovice za državne službenike i namještenike sukladno važećim zakonskim propisima, te sa određenim brojem prekovremenih sati zbog očekivanog većeg opsega rada službenika i namještenika iz razloga što će se tijekom 2028. godine provoditi izbori za</w:t>
      </w:r>
      <w:r>
        <w:t xml:space="preserve"> zastupnike u Hrvatski sabor.  </w:t>
      </w:r>
    </w:p>
    <w:p w:rsidR="00B54171" w:rsidRDefault="00BB5DC1">
      <w:r>
        <w:t xml:space="preserve">Sredstva na skupini rashoda 32 Materijalni rashodi planirana su u iznosu od 726.450 eura, a najnačajni su:  </w:t>
      </w:r>
    </w:p>
    <w:p w:rsidR="00B54171" w:rsidRDefault="00BB5DC1">
      <w:r>
        <w:t>-</w:t>
      </w:r>
      <w:r>
        <w:tab/>
        <w:t>troškovi provedbe edukacija birača u svezi ostvarenja aktivnog i pasivnog biračkog prava koja je jedna od aktivno</w:t>
      </w:r>
      <w:r>
        <w:t>sti iz Strateškog plana Državnog izbornog povjerenstva za 2026.-2028. te troškove službenih putovanja koji su dio redovnog poslovanja vezanim uz međunarodnu suradnju sa izbornim institucijama iz drugih zemalja (pozicija 3211 Službena putovanja), a čine 5,1</w:t>
      </w:r>
      <w:r>
        <w:t xml:space="preserve">%;  </w:t>
      </w:r>
    </w:p>
    <w:p w:rsidR="00B54171" w:rsidRDefault="00BB5DC1">
      <w:r>
        <w:t>-</w:t>
      </w:r>
      <w:r>
        <w:tab/>
        <w:t xml:space="preserve">troškovi uredskog materijala i ostalih materijalnih rashoda (pozicija 3221 Uredski materijal i ostali materijalni rashodi), a čine 3,1%;  </w:t>
      </w:r>
    </w:p>
    <w:p w:rsidR="00B54171" w:rsidRDefault="00BB5DC1">
      <w:r>
        <w:t>-</w:t>
      </w:r>
      <w:r>
        <w:tab/>
        <w:t xml:space="preserve">troškovi električne energije i plina (pozicija 3223 Energija), a čine 10,7%;  </w:t>
      </w:r>
    </w:p>
    <w:p w:rsidR="00B54171" w:rsidRDefault="00BB5DC1">
      <w:r>
        <w:t>-</w:t>
      </w:r>
      <w:r>
        <w:tab/>
        <w:t xml:space="preserve">troškovi fiksne telefonije, interneta i poštanskih usluga neophodnih za redovno poslovanje Državnog izbornog povjerenstva (pozicija 3231 Usluge telefona, pošte i prijevoza), a čine 4,0%:  </w:t>
      </w:r>
    </w:p>
    <w:p w:rsidR="00B54171" w:rsidRDefault="00BB5DC1">
      <w:r>
        <w:t>-</w:t>
      </w:r>
      <w:r>
        <w:tab/>
        <w:t>najam opreme te najam arhivskog prostora zbog planiranog premje</w:t>
      </w:r>
      <w:r>
        <w:t xml:space="preserve">štanja određenog dijela arhivske građe na čuvanje Hrvatskom državnom arhivu  (pozicija 3235 Zakupnine i najamnine), a čine 8,0%;  </w:t>
      </w:r>
    </w:p>
    <w:p w:rsidR="00B54171" w:rsidRDefault="00BB5DC1">
      <w:r>
        <w:t>-</w:t>
      </w:r>
      <w:r>
        <w:tab/>
        <w:t>redovite računalne usluge neophodne za redovito funkcioniranje Državnog izbornog povjerenstva, od kojih se ističe: usluga u</w:t>
      </w:r>
      <w:r>
        <w:t>domljavanja i održavanja aplikacije za dostavu i objavu financijskih izvještaja u području redovnog nadzora financiranja; usluga udomljavanja i održavanja mrežnih stranica; usluga održavanja ICT sustava; usluga održavanja računovodstvenog programa „Konto“,</w:t>
      </w:r>
      <w:r>
        <w:t xml:space="preserve"> usluga sigurnosno operativnog centra za upravljanje i poboljšanje kibernetičke sigurnosti te nadogradnje aplikacija za nadzor financiranja (pozicija 3238 Računalne usluge), a čine 34,1%;  </w:t>
      </w:r>
    </w:p>
    <w:p w:rsidR="00B54171" w:rsidRDefault="00BB5DC1">
      <w:r>
        <w:t>-</w:t>
      </w:r>
      <w:r>
        <w:tab/>
        <w:t>ostale usluge koje se prvenstveno odnose na povećanje cijene usl</w:t>
      </w:r>
      <w:r>
        <w:t xml:space="preserve">uge čišćenja poslovnog prostora (pozicija 3239 Ostale usluge), a čine 6,5%; </w:t>
      </w:r>
    </w:p>
    <w:p w:rsidR="00B54171" w:rsidRDefault="00BB5DC1">
      <w:r>
        <w:t>-</w:t>
      </w:r>
      <w:r>
        <w:tab/>
        <w:t xml:space="preserve">troškovi tekućeg održavanja opreme i zgrade, a čine 7,6%;  </w:t>
      </w:r>
    </w:p>
    <w:p w:rsidR="00B54171" w:rsidRDefault="00BB5DC1">
      <w:r>
        <w:t>-</w:t>
      </w:r>
      <w:r>
        <w:tab/>
        <w:t xml:space="preserve">troškovi naknada za rad povjerenstva Državnog izbornog povjerenstva, a čine 10,7% te; </w:t>
      </w:r>
    </w:p>
    <w:p w:rsidR="00B54171" w:rsidRDefault="00BB5DC1">
      <w:r>
        <w:t>-</w:t>
      </w:r>
      <w:r>
        <w:tab/>
        <w:t xml:space="preserve">troškovi održavanja, goriva, osiguranja i drugih materijalnih rashoda vezanih uz prijevozno sredstvo i na ostale troškove vezane uz redovno poslovanje, a čine 10,2%. </w:t>
      </w:r>
    </w:p>
    <w:p w:rsidR="00B54171" w:rsidRDefault="00BB5DC1">
      <w:r>
        <w:t>Rashodi za nabavu nefinancijske imovine planirani su u iznosu od 15.000 eura, a planira</w:t>
      </w:r>
      <w:r>
        <w:t>na su za  nabavu uredskog namještaja, nabavu komunikacijske opreme odnosno zamjenu postojeće opreme (mobiteli) te za nabavu ostale opreme za potrebe redovnog poslovanja.</w:t>
      </w:r>
    </w:p>
    <w:p w:rsidR="00B54171" w:rsidRDefault="00BB5DC1">
      <w:pPr>
        <w:pStyle w:val="Heading4"/>
      </w:pPr>
      <w:r>
        <w:t>A896006 PROVEDBA REFERENDUMA</w:t>
      </w:r>
    </w:p>
    <w:p w:rsidR="00B54171" w:rsidRDefault="00BB5DC1">
      <w:pPr>
        <w:pStyle w:val="Heading8"/>
        <w:jc w:val="left"/>
      </w:pPr>
      <w:r>
        <w:t>Zakonske i druge pravne osnove</w:t>
      </w:r>
    </w:p>
    <w:p w:rsidR="00B54171" w:rsidRDefault="00BB5DC1">
      <w:pPr>
        <w:pStyle w:val="Normal5"/>
      </w:pPr>
      <w:r>
        <w:t>Zakon o financiranju polit</w:t>
      </w:r>
      <w:r>
        <w:t>ičkih aktivnosti, izborne promidžbe i referenduma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16"/>
        <w:gridCol w:w="1543"/>
        <w:gridCol w:w="1511"/>
        <w:gridCol w:w="1522"/>
        <w:gridCol w:w="1522"/>
        <w:gridCol w:w="1522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A896006-PROVEDBA REFERENDUMA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17.100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55.100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55.100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0,0</w:t>
            </w:r>
          </w:p>
        </w:tc>
      </w:tr>
    </w:tbl>
    <w:p w:rsidR="00B54171" w:rsidRDefault="00B54171">
      <w:pPr>
        <w:jc w:val="left"/>
      </w:pPr>
    </w:p>
    <w:p w:rsidR="00B54171" w:rsidRDefault="00BB5DC1">
      <w:r>
        <w:t xml:space="preserve">U narednom trogodišnjem razdoblju sredstva su planirana na aktivnosti provedba referenduma sukladno nadležnostima Državnog izbornog povjerenstva propisanih Zakonom o financiranju političkih aktivnosti, izborne promidžbe i referenduma te nadležnostima koje </w:t>
      </w:r>
      <w:r>
        <w:t xml:space="preserve">će biti propisane Zakonom o referendumu čije se  donošenje očekuje. </w:t>
      </w:r>
    </w:p>
    <w:p w:rsidR="00B54171" w:rsidRDefault="00BB5DC1">
      <w:r>
        <w:t>Zakonom o financiranju političkih aktivnosti, izborne promidžbe i referenduma propisana je nadležnost Državnog izbornog povjerenstva u provedbi nadzora financiranja refrendumskih aktivnos</w:t>
      </w:r>
      <w:r>
        <w:t>ti. Dostava financijskih izvještaja Državnom izbornom povjerenstvu obavlja se unosom u informacijski sustav koji je razvijen tijekom 2018. Informacijski sustav je, za pojedinu referendumsku inicijativu, u funkciji od trenutka kada Organizacijski odbor za p</w:t>
      </w:r>
      <w:r>
        <w:t xml:space="preserve">rovedbu referenduma dostavi obavijest Državnom izbornom povjerenstvu o otvorenom posebnom računu za financiranje referendumske aktivnosti do unosa završnog financijskog izvještaja u informacijski sustav.  </w:t>
      </w:r>
    </w:p>
    <w:p w:rsidR="00B54171" w:rsidRDefault="00BB5DC1">
      <w:r>
        <w:t>Za razdoblje 2026.-2028., u odnosu na prethodni pl</w:t>
      </w:r>
      <w:r>
        <w:t xml:space="preserve">an proračuna, sredstva su na ovoj aktivnosti za 2027. godinu planirana u većem iznosu na poziciji 32 Materijalni rashodi (3238 Računalne usluge) zbog usluge udomljavanja Evidencije referendumskih inicijativa, a koja je planirana u iznosu od 38.000 eura.  </w:t>
      </w:r>
    </w:p>
    <w:p w:rsidR="00B54171" w:rsidRDefault="00BB5DC1">
      <w:r>
        <w:t xml:space="preserve">S obzirom da nije moguće predvidjeti održavanje referenduma, sredstva na poziciji računalnih usluga za provedbu nadzora financiranja referendumske aktivnosti planirana su na bazi procjene nadzora financiranja 5 referendumskih aktivnosti (na državnoj i/ili </w:t>
      </w:r>
      <w:r>
        <w:t xml:space="preserve">lokalnoj razini). Za razdoblje 2026.- 2028. za ovu svrhu su sredstva planirana u iznosu od 17.100 eura za svaku godinu planiranog razdoblja.  </w:t>
      </w:r>
    </w:p>
    <w:p w:rsidR="00B54171" w:rsidRDefault="00BB5DC1">
      <w:r>
        <w:t xml:space="preserve">Planirana sredstava za 2026. u iznosu od 17.100 eura odnose se na uslugu udomljavanja i održavanja aplikacije za </w:t>
      </w:r>
      <w:r>
        <w:t xml:space="preserve">dostavu i objavu financijskih izvještaja u području nadzora financiranja referenduma. </w:t>
      </w:r>
    </w:p>
    <w:p w:rsidR="00B54171" w:rsidRDefault="00BB5DC1">
      <w:r>
        <w:t>Planirana sredstava za 2027. i 2028. u iznosu od 55.100 eura godišnje odnose se na uslugu udomljavanja i održavanja aplikacije za dostavu i objavu financijskih izvještaj</w:t>
      </w:r>
      <w:r>
        <w:t>a u području nadzora financiranja referenduma i uslugu udomljavanja Evidencije referendumskih inicijativa.</w:t>
      </w:r>
    </w:p>
    <w:p w:rsidR="00B54171" w:rsidRDefault="00BB5DC1">
      <w:pPr>
        <w:pStyle w:val="Heading4"/>
      </w:pPr>
      <w:r>
        <w:t>K896003 INFORMATIZACIJA DRŽAVNOG IZBORNOG POVJERENSTVA REPUBLIKE HRVATSKE</w:t>
      </w:r>
    </w:p>
    <w:p w:rsidR="00B54171" w:rsidRDefault="00BB5DC1">
      <w:pPr>
        <w:pStyle w:val="Heading8"/>
        <w:jc w:val="left"/>
      </w:pPr>
      <w:r>
        <w:t>Zakonske i druge pravne osnove</w:t>
      </w:r>
    </w:p>
    <w:p w:rsidR="00B54171" w:rsidRDefault="00BB5DC1">
      <w:pPr>
        <w:pStyle w:val="Normal5"/>
      </w:pPr>
      <w:r>
        <w:t>Zakon o Državnom izbornom povjerenstvu Repub</w:t>
      </w:r>
      <w:r>
        <w:t xml:space="preserve">like Hrvatske   </w:t>
      </w:r>
    </w:p>
    <w:p w:rsidR="00B54171" w:rsidRDefault="00BB5DC1">
      <w:pPr>
        <w:pStyle w:val="Normal5"/>
      </w:pPr>
      <w:r>
        <w:t>Poslovnik o radu Državnog izbornog povjerenstva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490"/>
        <w:gridCol w:w="1458"/>
        <w:gridCol w:w="1458"/>
        <w:gridCol w:w="1458"/>
        <w:gridCol w:w="1458"/>
        <w:gridCol w:w="970"/>
      </w:tblGrid>
      <w:tr w:rsidR="00B54171">
        <w:trPr>
          <w:jc w:val="center"/>
        </w:trPr>
        <w:tc>
          <w:tcPr>
            <w:tcW w:w="153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:rsidR="00B54171" w:rsidRDefault="00BB5DC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B54171">
        <w:trPr>
          <w:jc w:val="center"/>
        </w:trPr>
        <w:tc>
          <w:tcPr>
            <w:tcW w:w="153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K896003-INFORMATIZACIJA DRŽAVNOG IZBORNOG POVJERENSTVA REPUBLIKE HRVATSKE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24.252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48.400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30.800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31.100</w:t>
            </w:r>
          </w:p>
        </w:tc>
        <w:tc>
          <w:tcPr>
            <w:tcW w:w="1632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73.600</w:t>
            </w:r>
          </w:p>
        </w:tc>
        <w:tc>
          <w:tcPr>
            <w:tcW w:w="510" w:type="dxa"/>
          </w:tcPr>
          <w:p w:rsidR="00B54171" w:rsidRDefault="00BB5DC1">
            <w:pPr>
              <w:pStyle w:val="CellColumn"/>
            </w:pPr>
            <w:r>
              <w:rPr>
                <w:rFonts w:cs="Times New Roman"/>
              </w:rPr>
              <w:t>63,6</w:t>
            </w:r>
          </w:p>
        </w:tc>
      </w:tr>
    </w:tbl>
    <w:p w:rsidR="00B54171" w:rsidRDefault="00B54171">
      <w:pPr>
        <w:jc w:val="left"/>
      </w:pPr>
    </w:p>
    <w:p w:rsidR="00B54171" w:rsidRDefault="00BB5DC1">
      <w:r>
        <w:t>Planirana sredstva u narednom trogodišnjem razdoblju odnose se na: nabavu nove uredske opreme te na ulaganje u računalne programe. Rashodi za nabavu uredske opreme odnose se na zamjenu dotrajalih odnosno zastarjelih računala. Rashodi za ulaganja u računaln</w:t>
      </w:r>
      <w:r>
        <w:t>e programe planirani su vezano uz postojeću aplikaciju za nadzor redovnog financiranja političkih aktivnosti koja se koristi kao alat u provođenju zakonom propisane nadležnosti Državnog izbornog povjerenstva, za razvoj sustava eZahtjev i evidencije referen</w:t>
      </w:r>
      <w:r>
        <w:t xml:space="preserve">dumskih inicijativa.  </w:t>
      </w:r>
    </w:p>
    <w:p w:rsidR="00B54171" w:rsidRDefault="00BB5DC1">
      <w:r>
        <w:t xml:space="preserve">Za razdoblje 2026.-2028., u odnosu na prethodni plan proračuna, planirana sredstva su na ovoj aktivnosti ostala na istoj razini.  </w:t>
      </w:r>
    </w:p>
    <w:p w:rsidR="00B54171" w:rsidRDefault="00BB5DC1">
      <w:r>
        <w:t xml:space="preserve">Od ukupno planiranih sredstava za 2026. u iznosu od 30.800 eura, 61,7% planiranih sredstava odnosi se </w:t>
      </w:r>
      <w:r>
        <w:t>na nabavu uredske opreme, dok se preostalih 38,3% odnosi na razvoj on line edukacija vezano uz nadzor financiranja političkih aktivnosti (redovan nadzor) i nadzor financiranja referendumskih aktivnosti koje su namjenjene subjektima nad kojima se provodi na</w:t>
      </w:r>
      <w:r>
        <w:t xml:space="preserve">dzor.  </w:t>
      </w:r>
    </w:p>
    <w:p w:rsidR="00B54171" w:rsidRDefault="00BB5DC1">
      <w:r>
        <w:t>Od ukupno planiranih sredstava za 2027. u iznosu od 31.100 eura, 62,7% planiranih sredstava odnosi se na nabavu uredske opreme zbog zamjene dijela informatičke opreme zbog dotrajalosti, dok se preostalih 37,3% odnosi na razvoj on line edukacija nam</w:t>
      </w:r>
      <w:r>
        <w:t xml:space="preserve">jenjenim subjektima nad kojima se provodi nadzor. </w:t>
      </w:r>
    </w:p>
    <w:p w:rsidR="00B54171" w:rsidRDefault="00BB5DC1">
      <w:r>
        <w:t>Od ukupno planiranih sredstava za 2028. u iznosu od 73.600 eura, 50,2% planiranih sredstava odnosi se na nabavu uredske opreme i namještaja, dok se preostalih 49,8% odnosi na razvoj on line edukacija namje</w:t>
      </w:r>
      <w:r>
        <w:t>njenim subjektima nad kojima se provodi nadzor te na razvoj sustava eZahtjev za pristup aplikaciji za dostavu i objavu financijskih izvještaja u području redovnog nadzora financiranja političkih aktivnosti.</w:t>
      </w:r>
    </w:p>
    <w:sectPr w:rsidR="00B54171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BB5DC1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BB5DC1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54171"/>
    <w:rsid w:val="00BA487B"/>
    <w:rsid w:val="00BA7BD1"/>
    <w:rsid w:val="00BB5DC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864F36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C1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294F-A08D-4CA5-854F-A4A06281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Vlatka Prskalo</cp:lastModifiedBy>
  <cp:revision>15</cp:revision>
  <cp:lastPrinted>2025-11-12T13:04:00Z</cp:lastPrinted>
  <dcterms:created xsi:type="dcterms:W3CDTF">2016-10-28T08:23:00Z</dcterms:created>
  <dcterms:modified xsi:type="dcterms:W3CDTF">2025-11-12T13:05:00Z</dcterms:modified>
</cp:coreProperties>
</file>